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280" w:before="200" w:line="288" w:lineRule="auto"/>
        <w:contextualSpacing w:val="0"/>
        <w:jc w:val="center"/>
      </w:pPr>
      <w:bookmarkStart w:colFirst="0" w:colLast="0" w:name="_5ro5t6asoml6" w:id="0"/>
      <w:bookmarkEnd w:id="0"/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OER17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Sponsorship &amp; Exhibition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80" w:before="200"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Please complete all relevant parts of this form and return to </w:t>
      </w:r>
      <w:hyperlink r:id="rId5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finance@alt.ac.uk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If you would like to speak to someone about sponsor and exhibitor opportunities before submitting this form in the first instance please contact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enquiries@alt.ac.uk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or call + 44 1865 484 125.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6600"/>
        <w:tblGridChange w:id="0">
          <w:tblGrid>
            <w:gridCol w:w="2430"/>
            <w:gridCol w:w="6600"/>
          </w:tblGrid>
        </w:tblGridChange>
      </w:tblGrid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Name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Organisation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Email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Phone number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Sponsorship option (select)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Gold Sponsor: (member) £1200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Gold Sponsor: (non-member) £1500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Exhibition (member): £500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Exhibition (non-member): £750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Other sponsorship (please provide detail)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Member rates are only available for Sponsoring or Partner Members of ALT who are in good standing.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Invoice address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PO number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Confirmation 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highlight w:val="white"/>
                <w:rtl w:val="0"/>
              </w:rPr>
              <w:t xml:space="preserve">By signing this form you agree to take up the package as indicated above under the terms and conditions set out below including the cancellation policy.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Signature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Date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highlight w:val="white"/>
                <w:rtl w:val="0"/>
              </w:rPr>
              <w:t xml:space="preserve">Details to be displayed on conference platform:</w:t>
            </w:r>
          </w:p>
        </w:tc>
      </w:tr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Website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Twitter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Logo attached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highlight w:val="white"/>
                <w:rtl w:val="0"/>
              </w:rPr>
              <w:t xml:space="preserve">100 word company description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Terms and conditions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ALT is a Registered Charity number 1160039 and VAT is not charged.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Places will be allocated on a first-come, first served basis upon receipt of the completed form. Payment is due prior to the event within 30 days of the date of the invoice. 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Cancellations made in writing will be charged min. 50% of the total amount if made up to 3 months before the event. Cancellations made after that date will not receive any refund. 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Sponsorships agreed less than 3 months prior to the event will not be eligible for any refunds should the sponsorship be cancelled.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finance@alt.ac.uk" TargetMode="External"/><Relationship Id="rId6" Type="http://schemas.openxmlformats.org/officeDocument/2006/relationships/hyperlink" Target="mailto:enquiries@alt.ac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